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BAF" w:rsidRDefault="000A0BAF" w:rsidP="000A0BAF">
      <w:pPr>
        <w:spacing w:after="0" w:line="20" w:lineRule="atLeast"/>
        <w:jc w:val="center"/>
        <w:rPr>
          <w:rFonts w:ascii="Garamond" w:hAnsi="Garamond" w:cs="Times New Roman"/>
        </w:rPr>
      </w:pPr>
      <w:r w:rsidRPr="00E66C4D">
        <w:rPr>
          <w:rFonts w:asciiTheme="majorHAnsi" w:hAnsiTheme="majorHAnsi"/>
          <w:iCs/>
          <w:noProof/>
          <w:kern w:val="28"/>
          <w:sz w:val="60"/>
          <w:szCs w:val="60"/>
        </w:rPr>
        <mc:AlternateContent>
          <mc:Choice Requires="wps">
            <w:drawing>
              <wp:anchor distT="0" distB="0" distL="114300" distR="114300" simplePos="0" relativeHeight="251661312" behindDoc="0" locked="0" layoutInCell="1" allowOverlap="1" wp14:anchorId="44C6A8C8" wp14:editId="1445CCDC">
                <wp:simplePos x="0" y="0"/>
                <wp:positionH relativeFrom="column">
                  <wp:posOffset>-145415</wp:posOffset>
                </wp:positionH>
                <wp:positionV relativeFrom="paragraph">
                  <wp:posOffset>-711200</wp:posOffset>
                </wp:positionV>
                <wp:extent cx="6852285" cy="588010"/>
                <wp:effectExtent l="0" t="0" r="0" b="2540"/>
                <wp:wrapNone/>
                <wp:docPr id="30" name="Text Box 30"/>
                <wp:cNvGraphicFramePr/>
                <a:graphic xmlns:a="http://schemas.openxmlformats.org/drawingml/2006/main">
                  <a:graphicData uri="http://schemas.microsoft.com/office/word/2010/wordprocessingShape">
                    <wps:wsp>
                      <wps:cNvSpPr txBox="1"/>
                      <wps:spPr>
                        <a:xfrm>
                          <a:off x="0" y="0"/>
                          <a:ext cx="6852285" cy="588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0BAF" w:rsidRPr="00E66C4D" w:rsidRDefault="000A0BAF" w:rsidP="000A0BAF">
                            <w:pPr>
                              <w:rPr>
                                <w:rFonts w:asciiTheme="majorHAnsi" w:hAnsiTheme="majorHAnsi"/>
                                <w:color w:val="FFFFFF" w:themeColor="background1"/>
                                <w:sz w:val="60"/>
                                <w:szCs w:val="60"/>
                              </w:rPr>
                            </w:pPr>
                            <w:r w:rsidRPr="00E66C4D">
                              <w:rPr>
                                <w:rFonts w:asciiTheme="majorHAnsi" w:hAnsiTheme="majorHAnsi"/>
                                <w:color w:val="FFFFFF" w:themeColor="background1"/>
                                <w:sz w:val="60"/>
                                <w:szCs w:val="60"/>
                              </w:rPr>
                              <w:t>M</w:t>
                            </w:r>
                            <w:r>
                              <w:rPr>
                                <w:rFonts w:asciiTheme="majorHAnsi" w:hAnsiTheme="majorHAnsi"/>
                                <w:color w:val="FFFFFF" w:themeColor="background1"/>
                                <w:sz w:val="60"/>
                                <w:szCs w:val="60"/>
                              </w:rPr>
                              <w:t>odule 3</w:t>
                            </w:r>
                            <w:r w:rsidRPr="00E66C4D">
                              <w:rPr>
                                <w:rFonts w:asciiTheme="majorHAnsi" w:hAnsiTheme="majorHAnsi"/>
                                <w:color w:val="FFFFFF" w:themeColor="background1"/>
                                <w:sz w:val="60"/>
                                <w:szCs w:val="60"/>
                              </w:rPr>
                              <w:t xml:space="preserve">: </w:t>
                            </w:r>
                            <w:r>
                              <w:rPr>
                                <w:rFonts w:asciiTheme="majorHAnsi" w:hAnsiTheme="majorHAnsi"/>
                                <w:color w:val="FFFFFF" w:themeColor="background1"/>
                                <w:sz w:val="60"/>
                                <w:szCs w:val="60"/>
                              </w:rPr>
                              <w:t xml:space="preserve">Acting after the Meeting </w:t>
                            </w:r>
                            <w:proofErr w:type="spellStart"/>
                            <w:r>
                              <w:rPr>
                                <w:rFonts w:asciiTheme="majorHAnsi" w:hAnsiTheme="majorHAnsi"/>
                                <w:color w:val="FFFFFF" w:themeColor="background1"/>
                                <w:sz w:val="60"/>
                                <w:szCs w:val="60"/>
                              </w:rPr>
                              <w:t>MEeMeeting</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11.45pt;margin-top:-56pt;width:539.55pt;height:46.3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" filled="f" stroked="f" strokeweight=".5pt">
                <v:textbox>
                  <w:txbxContent>
                    <w:p w:rsidR="000A0BAF" w:rsidRPr="00E66C4D" w:rsidRDefault="000A0BAF" w:rsidP="000A0BAF">
                      <w:pPr>
                        <w:rPr>
                          <w:rFonts w:asciiTheme="majorHAnsi" w:hAnsiTheme="majorHAnsi"/>
                          <w:color w:val="FFFFFF" w:themeColor="background1"/>
                          <w:sz w:val="60"/>
                          <w:szCs w:val="60"/>
                        </w:rPr>
                      </w:pPr>
                      <w:r w:rsidRPr="00E66C4D">
                        <w:rPr>
                          <w:rFonts w:asciiTheme="majorHAnsi" w:hAnsiTheme="majorHAnsi"/>
                          <w:color w:val="FFFFFF" w:themeColor="background1"/>
                          <w:sz w:val="60"/>
                          <w:szCs w:val="60"/>
                        </w:rPr>
                        <w:t>M</w:t>
                      </w:r>
                      <w:r>
                        <w:rPr>
                          <w:rFonts w:asciiTheme="majorHAnsi" w:hAnsiTheme="majorHAnsi"/>
                          <w:color w:val="FFFFFF" w:themeColor="background1"/>
                          <w:sz w:val="60"/>
                          <w:szCs w:val="60"/>
                        </w:rPr>
                        <w:t>odule 3</w:t>
                      </w:r>
                      <w:r w:rsidRPr="00E66C4D">
                        <w:rPr>
                          <w:rFonts w:asciiTheme="majorHAnsi" w:hAnsiTheme="majorHAnsi"/>
                          <w:color w:val="FFFFFF" w:themeColor="background1"/>
                          <w:sz w:val="60"/>
                          <w:szCs w:val="60"/>
                        </w:rPr>
                        <w:t xml:space="preserve">: </w:t>
                      </w:r>
                      <w:r>
                        <w:rPr>
                          <w:rFonts w:asciiTheme="majorHAnsi" w:hAnsiTheme="majorHAnsi"/>
                          <w:color w:val="FFFFFF" w:themeColor="background1"/>
                          <w:sz w:val="60"/>
                          <w:szCs w:val="60"/>
                        </w:rPr>
                        <w:t xml:space="preserve">Acting after the Meeting </w:t>
                      </w:r>
                      <w:proofErr w:type="spellStart"/>
                      <w:r>
                        <w:rPr>
                          <w:rFonts w:asciiTheme="majorHAnsi" w:hAnsiTheme="majorHAnsi"/>
                          <w:color w:val="FFFFFF" w:themeColor="background1"/>
                          <w:sz w:val="60"/>
                          <w:szCs w:val="60"/>
                        </w:rPr>
                        <w:t>MEeMeeting</w:t>
                      </w:r>
                      <w:proofErr w:type="spellEnd"/>
                    </w:p>
                  </w:txbxContent>
                </v:textbox>
              </v:shape>
            </w:pict>
          </mc:Fallback>
        </mc:AlternateContent>
      </w:r>
    </w:p>
    <w:p w:rsidR="000A0BAF" w:rsidRPr="00CB5744" w:rsidRDefault="000A0BAF" w:rsidP="000A0BAF">
      <w:pPr>
        <w:spacing w:line="240" w:lineRule="auto"/>
        <w:rPr>
          <w:rFonts w:cstheme="minorHAnsi"/>
        </w:rPr>
      </w:pPr>
      <w:r w:rsidRPr="00CB5744">
        <w:rPr>
          <w:rFonts w:cstheme="minorHAnsi"/>
        </w:rPr>
        <w:t xml:space="preserve">It is important to build on the momentum generated during the meeting. No later than </w:t>
      </w:r>
      <w:r>
        <w:rPr>
          <w:rFonts w:cstheme="minorHAnsi"/>
        </w:rPr>
        <w:t>one</w:t>
      </w:r>
      <w:r w:rsidRPr="00CB5744">
        <w:rPr>
          <w:rFonts w:cstheme="minorHAnsi"/>
        </w:rPr>
        <w:t xml:space="preserve"> week after the meeting has taken place, distribute to participants an evaluation form (see the </w:t>
      </w:r>
      <w:bookmarkStart w:id="0" w:name="_GoBack"/>
      <w:r w:rsidRPr="00127DF3">
        <w:rPr>
          <w:rFonts w:cstheme="minorHAnsi"/>
          <w:color w:val="000000" w:themeColor="text1"/>
        </w:rPr>
        <w:t xml:space="preserve">Evaluation Template </w:t>
      </w:r>
      <w:bookmarkEnd w:id="0"/>
      <w:r w:rsidRPr="00CB5744">
        <w:rPr>
          <w:rFonts w:cstheme="minorHAnsi"/>
        </w:rPr>
        <w:t xml:space="preserve">in Appendix A), meeting notes, a contact list, and a document listing relevant next steps they can take to accomplish the goals set during the meeting. </w:t>
      </w:r>
    </w:p>
    <w:p w:rsidR="000A0BAF" w:rsidRPr="00CB5744" w:rsidRDefault="000A0BAF" w:rsidP="000A0BAF">
      <w:pPr>
        <w:spacing w:line="240" w:lineRule="auto"/>
        <w:jc w:val="both"/>
        <w:rPr>
          <w:rFonts w:cstheme="minorHAnsi"/>
        </w:rPr>
      </w:pPr>
      <w:r w:rsidRPr="00CB5744">
        <w:rPr>
          <w:rFonts w:cstheme="minorHAnsi"/>
        </w:rPr>
        <w:t xml:space="preserve">The planning committee should also meet to debrief from the meeting, review evaluation results, consider improvements that could be made if they were to convene the group again, and discuss next steps. </w:t>
      </w:r>
    </w:p>
    <w:p w:rsidR="000A0BAF" w:rsidRPr="00CB5744" w:rsidRDefault="000A0BAF" w:rsidP="000A0BAF">
      <w:pPr>
        <w:spacing w:line="240" w:lineRule="auto"/>
        <w:jc w:val="both"/>
        <w:rPr>
          <w:rFonts w:cstheme="minorHAnsi"/>
        </w:rPr>
      </w:pPr>
      <w:r w:rsidRPr="00CB5744">
        <w:rPr>
          <w:rFonts w:cstheme="minorHAnsi"/>
        </w:rPr>
        <w:t>A number of resources and tools are available to support a community in understanding its risks and vulnerabilities and incorporating health, resilience, and sustainability into its long-term disaster recovery planning. Several are listed below:</w:t>
      </w:r>
    </w:p>
    <w:p w:rsidR="000A0BAF" w:rsidRPr="00CB5744" w:rsidRDefault="000A0BAF" w:rsidP="000A0BAF">
      <w:pPr>
        <w:pStyle w:val="ListParagraph"/>
        <w:numPr>
          <w:ilvl w:val="0"/>
          <w:numId w:val="1"/>
        </w:numPr>
        <w:jc w:val="both"/>
        <w:rPr>
          <w:rFonts w:eastAsia="Times New Roman" w:cstheme="minorHAnsi"/>
          <w:sz w:val="22"/>
          <w:szCs w:val="22"/>
        </w:rPr>
      </w:pPr>
      <w:r w:rsidRPr="00CB5744">
        <w:rPr>
          <w:rFonts w:cstheme="minorHAnsi"/>
          <w:b/>
          <w:sz w:val="22"/>
          <w:szCs w:val="22"/>
        </w:rPr>
        <w:t>Long-term Community Recovery Planning Process</w:t>
      </w:r>
      <w:r w:rsidRPr="00302E1D">
        <w:rPr>
          <w:rFonts w:cstheme="minorHAnsi"/>
          <w:b/>
          <w:sz w:val="22"/>
          <w:szCs w:val="22"/>
        </w:rPr>
        <w:t>:</w:t>
      </w:r>
      <w:r w:rsidRPr="00CB5744">
        <w:rPr>
          <w:rFonts w:eastAsia="Times New Roman" w:cstheme="minorHAnsi"/>
          <w:color w:val="000000"/>
          <w:sz w:val="22"/>
          <w:szCs w:val="22"/>
          <w:shd w:val="clear" w:color="auto" w:fill="FFFFFF"/>
        </w:rPr>
        <w:t xml:space="preserve"> The purpose of this guide is to provide communities with a framework for long-term community recovery that has been used by FEMA and its technical advisors over the past several years. This process has been successful in bringing communities together to focus on their long-term recovery issues and needs and to develop projects and strategies that address them. Find the guide at </w:t>
      </w:r>
      <w:hyperlink r:id="rId8" w:history="1">
        <w:r w:rsidRPr="00CB5744">
          <w:rPr>
            <w:rStyle w:val="Hyperlink"/>
            <w:rFonts w:eastAsia="Times New Roman" w:cstheme="minorHAnsi"/>
            <w:sz w:val="22"/>
            <w:szCs w:val="22"/>
            <w:shd w:val="clear" w:color="auto" w:fill="FFFFFF"/>
          </w:rPr>
          <w:t>https://www.fema.gov/media-library/assets/documents 6337</w:t>
        </w:r>
      </w:hyperlink>
      <w:r w:rsidRPr="00CB5744">
        <w:rPr>
          <w:rFonts w:eastAsia="Times New Roman" w:cstheme="minorHAnsi"/>
          <w:color w:val="000000"/>
          <w:sz w:val="22"/>
          <w:szCs w:val="22"/>
          <w:shd w:val="clear" w:color="auto" w:fill="FFFFFF"/>
        </w:rPr>
        <w:t xml:space="preserve">. </w:t>
      </w:r>
    </w:p>
    <w:p w:rsidR="000A0BAF" w:rsidRPr="00CB5744" w:rsidRDefault="000A0BAF" w:rsidP="000A0BAF">
      <w:pPr>
        <w:pStyle w:val="ListParagraph"/>
        <w:numPr>
          <w:ilvl w:val="0"/>
          <w:numId w:val="1"/>
        </w:numPr>
        <w:jc w:val="both"/>
        <w:rPr>
          <w:rFonts w:cstheme="minorHAnsi"/>
          <w:sz w:val="22"/>
          <w:szCs w:val="22"/>
        </w:rPr>
      </w:pPr>
      <w:r w:rsidRPr="00CB5744">
        <w:rPr>
          <w:rFonts w:cstheme="minorHAnsi"/>
          <w:b/>
          <w:sz w:val="22"/>
          <w:szCs w:val="22"/>
        </w:rPr>
        <w:t>Community Assessment for Public Health Emergency Response (CASPER)</w:t>
      </w:r>
      <w:r w:rsidRPr="00302E1D">
        <w:rPr>
          <w:rFonts w:cstheme="minorHAnsi"/>
          <w:b/>
          <w:sz w:val="22"/>
          <w:szCs w:val="22"/>
        </w:rPr>
        <w:t>:</w:t>
      </w:r>
      <w:r w:rsidRPr="00CB5744">
        <w:rPr>
          <w:rFonts w:cstheme="minorHAnsi"/>
          <w:sz w:val="22"/>
          <w:szCs w:val="22"/>
        </w:rPr>
        <w:t xml:space="preserve"> CASPER is an epidemiologic technique designed by the Centers for Disease Control and Prevention (CDC) to provide household-based information about a community quickly and at low cost. The CASPER toolkit is designed to assist personnel from any local, state, regional, or federal office in conducting a rapid needs assessment of a community’s health status; basic needs; or knowledge, attitudes, and practices. Gathering such information using valid statistical methods allows public health and emergency managers to make informed decisions. Find the toolkit at </w:t>
      </w:r>
      <w:hyperlink r:id="rId9" w:history="1">
        <w:r w:rsidRPr="00CB5744">
          <w:rPr>
            <w:rStyle w:val="Hyperlink"/>
            <w:rFonts w:cstheme="minorHAnsi"/>
            <w:sz w:val="22"/>
            <w:szCs w:val="22"/>
          </w:rPr>
          <w:t>http://www.cdc.gov/nceh/hsb/disaster/casper</w:t>
        </w:r>
      </w:hyperlink>
      <w:r w:rsidRPr="00CB5744">
        <w:rPr>
          <w:rFonts w:cstheme="minorHAnsi"/>
          <w:sz w:val="22"/>
          <w:szCs w:val="22"/>
        </w:rPr>
        <w:t xml:space="preserve">. </w:t>
      </w:r>
    </w:p>
    <w:p w:rsidR="000A0BAF" w:rsidRPr="00CB5744" w:rsidRDefault="000A0BAF" w:rsidP="000A0BAF">
      <w:pPr>
        <w:pStyle w:val="ListParagraph"/>
        <w:numPr>
          <w:ilvl w:val="0"/>
          <w:numId w:val="1"/>
        </w:numPr>
        <w:jc w:val="both"/>
        <w:rPr>
          <w:rFonts w:cstheme="minorHAnsi"/>
          <w:sz w:val="22"/>
          <w:szCs w:val="22"/>
          <w:shd w:val="clear" w:color="auto" w:fill="FFFFFF"/>
        </w:rPr>
      </w:pPr>
      <w:r w:rsidRPr="00CB5744">
        <w:rPr>
          <w:rFonts w:cstheme="minorHAnsi"/>
          <w:b/>
          <w:sz w:val="22"/>
          <w:szCs w:val="22"/>
        </w:rPr>
        <w:t>Disaster risk reduction</w:t>
      </w:r>
      <w:r w:rsidRPr="00302E1D">
        <w:rPr>
          <w:rFonts w:cstheme="minorHAnsi"/>
          <w:b/>
          <w:sz w:val="22"/>
          <w:szCs w:val="22"/>
        </w:rPr>
        <w:t xml:space="preserve">: </w:t>
      </w:r>
      <w:r w:rsidRPr="00CB5744">
        <w:rPr>
          <w:rFonts w:cstheme="minorHAnsi"/>
          <w:sz w:val="22"/>
          <w:szCs w:val="22"/>
          <w:shd w:val="clear" w:color="auto" w:fill="FFFFFF"/>
        </w:rPr>
        <w:t xml:space="preserve">Disaster risk reduction is the concept and practice of reducing disaster risks through systematic efforts to analyze and reduce the causal factors of disasters. Reducing exposure to hazards, lessening the vulnerability of people and property, managing land and the environment wisely, and improving preparedness and early warning for adverse events are all examples of disaster risk reduction. Learn more at </w:t>
      </w:r>
      <w:hyperlink r:id="rId10" w:history="1">
        <w:r w:rsidRPr="00CB5744">
          <w:rPr>
            <w:rStyle w:val="Hyperlink"/>
            <w:rFonts w:cstheme="minorHAnsi"/>
            <w:sz w:val="22"/>
            <w:szCs w:val="22"/>
            <w:shd w:val="clear" w:color="auto" w:fill="FFFFFF"/>
          </w:rPr>
          <w:t>https://www.unisdr.org/who-we-are/what-is-drr</w:t>
        </w:r>
      </w:hyperlink>
      <w:r w:rsidRPr="00CB5744">
        <w:rPr>
          <w:rFonts w:cstheme="minorHAnsi"/>
          <w:sz w:val="22"/>
          <w:szCs w:val="22"/>
          <w:shd w:val="clear" w:color="auto" w:fill="FFFFFF"/>
        </w:rPr>
        <w:t xml:space="preserve">. </w:t>
      </w:r>
    </w:p>
    <w:p w:rsidR="000A0BAF" w:rsidRPr="00CB5744" w:rsidRDefault="000A0BAF" w:rsidP="000A0BAF">
      <w:pPr>
        <w:pStyle w:val="ListParagraph"/>
        <w:numPr>
          <w:ilvl w:val="0"/>
          <w:numId w:val="1"/>
        </w:numPr>
        <w:jc w:val="both"/>
        <w:rPr>
          <w:rFonts w:cstheme="minorHAnsi"/>
          <w:sz w:val="22"/>
          <w:szCs w:val="22"/>
        </w:rPr>
      </w:pPr>
      <w:r w:rsidRPr="00CB5744">
        <w:rPr>
          <w:rFonts w:cstheme="minorHAnsi"/>
          <w:b/>
          <w:sz w:val="22"/>
          <w:szCs w:val="22"/>
          <w:shd w:val="clear" w:color="auto" w:fill="FFFFFF"/>
        </w:rPr>
        <w:t>Health in all policies (</w:t>
      </w:r>
      <w:proofErr w:type="spellStart"/>
      <w:r w:rsidRPr="00CB5744">
        <w:rPr>
          <w:rFonts w:cstheme="minorHAnsi"/>
          <w:b/>
          <w:sz w:val="22"/>
          <w:szCs w:val="22"/>
          <w:shd w:val="clear" w:color="auto" w:fill="FFFFFF"/>
        </w:rPr>
        <w:t>HiAP</w:t>
      </w:r>
      <w:proofErr w:type="spellEnd"/>
      <w:r w:rsidRPr="00CB5744">
        <w:rPr>
          <w:rFonts w:cstheme="minorHAnsi"/>
          <w:b/>
          <w:sz w:val="22"/>
          <w:szCs w:val="22"/>
          <w:shd w:val="clear" w:color="auto" w:fill="FFFFFF"/>
        </w:rPr>
        <w:t>)</w:t>
      </w:r>
      <w:r w:rsidRPr="00302E1D">
        <w:rPr>
          <w:rFonts w:cstheme="minorHAnsi"/>
          <w:b/>
          <w:sz w:val="22"/>
          <w:szCs w:val="22"/>
          <w:shd w:val="clear" w:color="auto" w:fill="FFFFFF"/>
        </w:rPr>
        <w:t>:</w:t>
      </w:r>
      <w:r w:rsidRPr="00CB5744">
        <w:rPr>
          <w:rFonts w:cstheme="minorHAnsi"/>
          <w:sz w:val="22"/>
          <w:szCs w:val="22"/>
          <w:shd w:val="clear" w:color="auto" w:fill="FFFFFF"/>
        </w:rPr>
        <w:t xml:space="preserve"> </w:t>
      </w:r>
      <w:proofErr w:type="spellStart"/>
      <w:r w:rsidRPr="00CB5744">
        <w:rPr>
          <w:rFonts w:cstheme="minorHAnsi"/>
          <w:sz w:val="22"/>
          <w:szCs w:val="22"/>
          <w:shd w:val="clear" w:color="auto" w:fill="FFFFFF"/>
        </w:rPr>
        <w:t>HiAP</w:t>
      </w:r>
      <w:proofErr w:type="spellEnd"/>
      <w:r w:rsidRPr="00CB5744">
        <w:rPr>
          <w:rFonts w:cstheme="minorHAnsi"/>
          <w:sz w:val="22"/>
          <w:szCs w:val="22"/>
          <w:shd w:val="clear" w:color="auto" w:fill="FFFFFF"/>
        </w:rPr>
        <w:t xml:space="preserve"> is a collaborative approach that integrates health considerations into policy making across sectors to improve the health of all communities and people. </w:t>
      </w:r>
      <w:proofErr w:type="spellStart"/>
      <w:r w:rsidRPr="00CB5744">
        <w:rPr>
          <w:rFonts w:cstheme="minorHAnsi"/>
          <w:sz w:val="22"/>
          <w:szCs w:val="22"/>
          <w:shd w:val="clear" w:color="auto" w:fill="FFFFFF"/>
        </w:rPr>
        <w:t>HiAP</w:t>
      </w:r>
      <w:proofErr w:type="spellEnd"/>
      <w:r w:rsidRPr="00CB5744">
        <w:rPr>
          <w:rFonts w:cstheme="minorHAnsi"/>
          <w:sz w:val="22"/>
          <w:szCs w:val="22"/>
          <w:shd w:val="clear" w:color="auto" w:fill="FFFFFF"/>
        </w:rPr>
        <w:t xml:space="preserve"> recognizes that health is created by a multitude of factors beyond health care and in many cases, beyond the scope of traditional public health activities. Learn more at </w:t>
      </w:r>
      <w:hyperlink r:id="rId11" w:history="1">
        <w:r w:rsidRPr="00CB5744">
          <w:rPr>
            <w:rStyle w:val="Hyperlink"/>
            <w:rFonts w:cstheme="minorHAnsi"/>
            <w:sz w:val="22"/>
            <w:szCs w:val="22"/>
            <w:shd w:val="clear" w:color="auto" w:fill="FFFFFF"/>
          </w:rPr>
          <w:t>http://www.cdc.gov/policy/hiap</w:t>
        </w:r>
      </w:hyperlink>
      <w:r w:rsidRPr="00CB5744">
        <w:rPr>
          <w:rFonts w:cstheme="minorHAnsi"/>
          <w:sz w:val="22"/>
          <w:szCs w:val="22"/>
          <w:shd w:val="clear" w:color="auto" w:fill="FFFFFF"/>
        </w:rPr>
        <w:t xml:space="preserve">. </w:t>
      </w:r>
    </w:p>
    <w:p w:rsidR="000A0BAF" w:rsidRPr="00CB5744" w:rsidRDefault="000A0BAF" w:rsidP="000A0BAF">
      <w:pPr>
        <w:pStyle w:val="ListParagraph"/>
        <w:numPr>
          <w:ilvl w:val="0"/>
          <w:numId w:val="1"/>
        </w:numPr>
        <w:jc w:val="both"/>
        <w:rPr>
          <w:rFonts w:cstheme="minorHAnsi"/>
          <w:sz w:val="22"/>
          <w:szCs w:val="22"/>
        </w:rPr>
      </w:pPr>
      <w:r w:rsidRPr="00CB5744">
        <w:rPr>
          <w:rFonts w:cstheme="minorHAnsi"/>
          <w:b/>
          <w:sz w:val="22"/>
          <w:szCs w:val="22"/>
        </w:rPr>
        <w:t>Mobilizing Action for Partnerships and Planning (MAPP):</w:t>
      </w:r>
      <w:r w:rsidRPr="00CB5744">
        <w:rPr>
          <w:rFonts w:cstheme="minorHAnsi"/>
          <w:sz w:val="22"/>
          <w:szCs w:val="22"/>
        </w:rPr>
        <w:t xml:space="preserve"> MAPP is a community-driven strategic planning process for improving community health. This framework helps communities apply strategic thinking to prioritize public health issues and identify resources to address them. MAPP is not an agency-focused assessment process; rather, it is an interactive process that can improve the efficiency, the effectiveness, and ultimately the performance of local public health systems. For information and resources, visit </w:t>
      </w:r>
      <w:hyperlink r:id="rId12" w:history="1">
        <w:r w:rsidRPr="00CB5744">
          <w:rPr>
            <w:rStyle w:val="Hyperlink"/>
            <w:rFonts w:cstheme="minorHAnsi"/>
            <w:sz w:val="22"/>
            <w:szCs w:val="22"/>
          </w:rPr>
          <w:t>www.naccho.org/topics/infrastructure/mapp</w:t>
        </w:r>
      </w:hyperlink>
      <w:r w:rsidRPr="00CB5744">
        <w:rPr>
          <w:rStyle w:val="Hyperlink"/>
          <w:rFonts w:cstheme="minorHAnsi"/>
          <w:sz w:val="22"/>
          <w:szCs w:val="22"/>
        </w:rPr>
        <w:t xml:space="preserve">. </w:t>
      </w:r>
      <w:r w:rsidRPr="00CB5744">
        <w:rPr>
          <w:rFonts w:cstheme="minorHAnsi"/>
          <w:sz w:val="22"/>
          <w:szCs w:val="22"/>
        </w:rPr>
        <w:t xml:space="preserve"> </w:t>
      </w:r>
    </w:p>
    <w:p w:rsidR="000A0BAF" w:rsidRPr="009B1195" w:rsidRDefault="000A0BAF" w:rsidP="000A0BAF">
      <w:pPr>
        <w:ind w:left="360"/>
        <w:rPr>
          <w:rFonts w:ascii="Times New Roman" w:hAnsi="Times New Roman"/>
        </w:rPr>
      </w:pPr>
    </w:p>
    <w:p w:rsidR="000A0BAF" w:rsidRDefault="000A0BAF" w:rsidP="000A0BAF">
      <w:pPr>
        <w:rPr>
          <w:shd w:val="clear" w:color="auto" w:fill="FFFFFF"/>
        </w:rPr>
      </w:pPr>
      <w:r>
        <w:rPr>
          <w:shd w:val="clear" w:color="auto" w:fill="FFFFFF"/>
        </w:rPr>
        <w:br w:type="page"/>
      </w:r>
    </w:p>
    <w:p w:rsidR="000A0BAF" w:rsidRDefault="000A0BAF" w:rsidP="000A0BAF">
      <w:pPr>
        <w:rPr>
          <w:rFonts w:ascii="Times New Roman" w:hAnsi="Times New Roman" w:cs="Times New Roman"/>
        </w:rPr>
      </w:pPr>
      <w:r>
        <w:rPr>
          <w:rFonts w:ascii="Garamond" w:hAnsi="Garamond" w:cs="Times New Roman"/>
          <w:noProof/>
        </w:rPr>
        <w:lastRenderedPageBreak/>
        <mc:AlternateContent>
          <mc:Choice Requires="wps">
            <w:drawing>
              <wp:anchor distT="0" distB="0" distL="114300" distR="114300" simplePos="0" relativeHeight="251659264" behindDoc="0" locked="0" layoutInCell="1" allowOverlap="1" wp14:anchorId="3D392530" wp14:editId="5454657F">
                <wp:simplePos x="0" y="0"/>
                <wp:positionH relativeFrom="column">
                  <wp:posOffset>47625</wp:posOffset>
                </wp:positionH>
                <wp:positionV relativeFrom="paragraph">
                  <wp:posOffset>38100</wp:posOffset>
                </wp:positionV>
                <wp:extent cx="6210935" cy="5638800"/>
                <wp:effectExtent l="0" t="0" r="18415" b="19050"/>
                <wp:wrapNone/>
                <wp:docPr id="16" name="Rectangle 16"/>
                <wp:cNvGraphicFramePr/>
                <a:graphic xmlns:a="http://schemas.openxmlformats.org/drawingml/2006/main">
                  <a:graphicData uri="http://schemas.microsoft.com/office/word/2010/wordprocessingShape">
                    <wps:wsp>
                      <wps:cNvSpPr/>
                      <wps:spPr>
                        <a:xfrm>
                          <a:off x="0" y="0"/>
                          <a:ext cx="6210935" cy="5638800"/>
                        </a:xfrm>
                        <a:prstGeom prst="rect">
                          <a:avLst/>
                        </a:prstGeom>
                        <a:solidFill>
                          <a:schemeClr val="bg2">
                            <a:lumMod val="75000"/>
                          </a:schemeClr>
                        </a:solidFill>
                        <a:ln>
                          <a:solidFill>
                            <a:srgbClr val="B1A089"/>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A0BAF" w:rsidRDefault="000A0BAF" w:rsidP="000A0BAF">
                            <w:pPr>
                              <w:pStyle w:val="Heading1"/>
                              <w:spacing w:before="0"/>
                              <w:rPr>
                                <w:b/>
                                <w:color w:val="A50021"/>
                              </w:rPr>
                            </w:pPr>
                            <w:r>
                              <w:rPr>
                                <w:b/>
                                <w:color w:val="A50021"/>
                              </w:rPr>
                              <w:t>Resources for Collaboration</w:t>
                            </w:r>
                          </w:p>
                          <w:p w:rsidR="000A0BAF" w:rsidRPr="004108DA" w:rsidRDefault="000A0BAF" w:rsidP="000A0BAF">
                            <w:pPr>
                              <w:spacing w:after="0" w:line="240" w:lineRule="auto"/>
                              <w:rPr>
                                <w:sz w:val="12"/>
                                <w:szCs w:val="12"/>
                                <w:lang w:eastAsia="ko-KR"/>
                              </w:rPr>
                            </w:pPr>
                          </w:p>
                          <w:p w:rsidR="000A0BAF" w:rsidRPr="000B1A79" w:rsidRDefault="000A0BAF" w:rsidP="000A0BAF">
                            <w:pPr>
                              <w:spacing w:after="0" w:line="240" w:lineRule="auto"/>
                              <w:rPr>
                                <w:rFonts w:cstheme="minorHAnsi"/>
                                <w:color w:val="000000" w:themeColor="text1"/>
                              </w:rPr>
                            </w:pPr>
                            <w:r w:rsidRPr="000B1A79">
                              <w:rPr>
                                <w:rFonts w:cstheme="minorHAnsi"/>
                                <w:i/>
                                <w:iCs/>
                                <w:color w:val="000000" w:themeColor="text1"/>
                              </w:rPr>
                              <w:t xml:space="preserve">Coalitions Work! Tools and Resources: </w:t>
                            </w:r>
                            <w:r w:rsidRPr="000B1A79">
                              <w:rPr>
                                <w:rFonts w:cstheme="minorHAnsi"/>
                                <w:color w:val="000000" w:themeColor="text1"/>
                              </w:rPr>
                              <w:t xml:space="preserve">This collection of work tools, publications, and external resources helps coalitions and partnership reach their potential to serve as a force for positive change in the health of their communities. For more information, visit </w:t>
                            </w:r>
                            <w:hyperlink r:id="rId13" w:tgtFrame="_blank" w:history="1">
                              <w:r w:rsidRPr="00302E1D">
                                <w:rPr>
                                  <w:rStyle w:val="Hyperlink"/>
                                  <w:rFonts w:cstheme="minorHAnsi"/>
                                </w:rPr>
                                <w:t>coalitionswork.com/resources</w:t>
                              </w:r>
                            </w:hyperlink>
                            <w:r w:rsidRPr="000B1A79">
                              <w:rPr>
                                <w:rFonts w:cstheme="minorHAnsi"/>
                                <w:color w:val="000000" w:themeColor="text1"/>
                              </w:rPr>
                              <w:t>.  </w:t>
                            </w:r>
                          </w:p>
                          <w:p w:rsidR="000A0BAF" w:rsidRPr="000B1A79" w:rsidRDefault="000A0BAF" w:rsidP="000A0BAF">
                            <w:pPr>
                              <w:spacing w:after="0" w:line="240" w:lineRule="auto"/>
                              <w:rPr>
                                <w:rFonts w:cstheme="minorHAnsi"/>
                                <w:color w:val="000000" w:themeColor="text1"/>
                              </w:rPr>
                            </w:pPr>
                          </w:p>
                          <w:p w:rsidR="000A0BAF" w:rsidRPr="000B1A79" w:rsidRDefault="000A0BAF" w:rsidP="000A0BAF">
                            <w:pPr>
                              <w:pStyle w:val="Heading4"/>
                              <w:spacing w:before="0" w:line="240" w:lineRule="auto"/>
                              <w:rPr>
                                <w:rFonts w:asciiTheme="minorHAnsi" w:eastAsiaTheme="minorHAnsi" w:hAnsiTheme="minorHAnsi" w:cstheme="minorHAnsi"/>
                                <w:i w:val="0"/>
                                <w:color w:val="000000" w:themeColor="text1"/>
                              </w:rPr>
                            </w:pPr>
                            <w:r w:rsidRPr="000B1A79">
                              <w:rPr>
                                <w:rFonts w:asciiTheme="minorHAnsi" w:eastAsiaTheme="minorHAnsi" w:hAnsiTheme="minorHAnsi" w:cstheme="minorHAnsi"/>
                                <w:b w:val="0"/>
                                <w:bCs w:val="0"/>
                                <w:iCs w:val="0"/>
                                <w:color w:val="000000" w:themeColor="text1"/>
                              </w:rPr>
                              <w:t>Collective Impact</w:t>
                            </w:r>
                            <w:r w:rsidRPr="000B1A79">
                              <w:rPr>
                                <w:rFonts w:asciiTheme="minorHAnsi" w:eastAsiaTheme="minorHAnsi" w:hAnsiTheme="minorHAnsi" w:cstheme="minorHAnsi"/>
                                <w:b w:val="0"/>
                                <w:bCs w:val="0"/>
                                <w:i w:val="0"/>
                                <w:iCs w:val="0"/>
                                <w:color w:val="000000" w:themeColor="text1"/>
                              </w:rPr>
                              <w:t xml:space="preserve">: </w:t>
                            </w:r>
                            <w:r w:rsidRPr="000B1A79">
                              <w:rPr>
                                <w:rFonts w:asciiTheme="minorHAnsi" w:eastAsiaTheme="minorHAnsi" w:hAnsiTheme="minorHAnsi" w:cstheme="minorHAnsi"/>
                                <w:b w:val="0"/>
                                <w:bCs w:val="0"/>
                                <w:i w:val="0"/>
                                <w:color w:val="000000" w:themeColor="text1"/>
                              </w:rPr>
                              <w:t xml:space="preserve">Compared with isolated impact, collective impact initiatives include large-scale social change that comes from better cross-sector coordination rather than isolated interventions of individual organizations. Such initiatives have the following features: a common agenda, shared measurement systems, mutually reinforcing activities, continuous communication, and backbone support organizations. For more information, visit </w:t>
                            </w:r>
                            <w:hyperlink r:id="rId14" w:tgtFrame="_blank" w:history="1">
                              <w:r w:rsidRPr="00302E1D">
                                <w:rPr>
                                  <w:rStyle w:val="Hyperlink"/>
                                  <w:rFonts w:asciiTheme="minorHAnsi" w:eastAsiaTheme="minorHAnsi" w:hAnsiTheme="minorHAnsi" w:cstheme="minorHAnsi"/>
                                  <w:b w:val="0"/>
                                  <w:bCs w:val="0"/>
                                  <w:i w:val="0"/>
                                </w:rPr>
                                <w:t>http://www.ssireview.org/articles/entry/collective_impact</w:t>
                              </w:r>
                            </w:hyperlink>
                            <w:r w:rsidRPr="00A01749">
                              <w:rPr>
                                <w:rStyle w:val="Hyperlink"/>
                                <w:rFonts w:asciiTheme="minorHAnsi" w:eastAsiaTheme="minorHAnsi" w:hAnsiTheme="minorHAnsi" w:cstheme="minorHAnsi"/>
                                <w:b w:val="0"/>
                                <w:bCs w:val="0"/>
                                <w:i w:val="0"/>
                                <w:color w:val="000000" w:themeColor="text1"/>
                              </w:rPr>
                              <w:t>.</w:t>
                            </w:r>
                            <w:r w:rsidRPr="000B1A79">
                              <w:rPr>
                                <w:rFonts w:asciiTheme="minorHAnsi" w:eastAsiaTheme="minorHAnsi" w:hAnsiTheme="minorHAnsi" w:cstheme="minorHAnsi"/>
                                <w:i w:val="0"/>
                                <w:color w:val="000000" w:themeColor="text1"/>
                              </w:rPr>
                              <w:t xml:space="preserve">  </w:t>
                            </w:r>
                          </w:p>
                          <w:p w:rsidR="000A0BAF" w:rsidRPr="000B1A79" w:rsidRDefault="000A0BAF" w:rsidP="000A0BAF">
                            <w:pPr>
                              <w:spacing w:after="0" w:line="240" w:lineRule="auto"/>
                              <w:rPr>
                                <w:rFonts w:cstheme="minorHAnsi"/>
                                <w:color w:val="000000" w:themeColor="text1"/>
                              </w:rPr>
                            </w:pPr>
                          </w:p>
                          <w:p w:rsidR="000A0BAF" w:rsidRPr="000B1A79" w:rsidRDefault="000A0BAF" w:rsidP="000A0BAF">
                            <w:pPr>
                              <w:spacing w:after="0" w:line="240" w:lineRule="auto"/>
                              <w:rPr>
                                <w:rFonts w:cstheme="minorHAnsi"/>
                                <w:color w:val="000000" w:themeColor="text1"/>
                              </w:rPr>
                            </w:pPr>
                            <w:r w:rsidRPr="000B1A79">
                              <w:rPr>
                                <w:rFonts w:cstheme="minorHAnsi"/>
                                <w:i/>
                                <w:color w:val="000000" w:themeColor="text1"/>
                              </w:rPr>
                              <w:t>The Community Tool Box</w:t>
                            </w:r>
                            <w:r w:rsidRPr="000B1A79">
                              <w:rPr>
                                <w:rFonts w:cstheme="minorHAnsi"/>
                                <w:color w:val="000000" w:themeColor="text1"/>
                              </w:rPr>
                              <w:t xml:space="preserve">: The Community Tool Box is a free, online resource for those working to build healthier communities and bring about social change. It offers tips and tools for taking action in communities through assessment, planning, intervention, evaluation, advocacy, and other aspects of community practice. For information and resources, visit </w:t>
                            </w:r>
                            <w:hyperlink r:id="rId15" w:history="1">
                              <w:r w:rsidRPr="00302E1D">
                                <w:rPr>
                                  <w:rStyle w:val="Hyperlink"/>
                                  <w:rFonts w:cstheme="minorHAnsi"/>
                                </w:rPr>
                                <w:t>http://ctb.ku.edu/en/learn-skill</w:t>
                              </w:r>
                            </w:hyperlink>
                            <w:r w:rsidRPr="00A01749">
                              <w:rPr>
                                <w:rStyle w:val="Hyperlink"/>
                                <w:rFonts w:cstheme="minorHAnsi"/>
                                <w:color w:val="000000" w:themeColor="text1"/>
                              </w:rPr>
                              <w:t>.</w:t>
                            </w:r>
                            <w:r w:rsidRPr="000B1A79">
                              <w:rPr>
                                <w:rFonts w:cstheme="minorHAnsi"/>
                                <w:color w:val="000000" w:themeColor="text1"/>
                              </w:rPr>
                              <w:t xml:space="preserve"> </w:t>
                            </w:r>
                          </w:p>
                          <w:p w:rsidR="000A0BAF" w:rsidRPr="000B1A79" w:rsidRDefault="000A0BAF" w:rsidP="000A0BAF">
                            <w:pPr>
                              <w:spacing w:after="0" w:line="240" w:lineRule="auto"/>
                              <w:rPr>
                                <w:rFonts w:cstheme="minorHAnsi"/>
                                <w:color w:val="000000" w:themeColor="text1"/>
                              </w:rPr>
                            </w:pPr>
                          </w:p>
                          <w:p w:rsidR="000A0BAF" w:rsidRPr="000B1A79" w:rsidRDefault="000A0BAF" w:rsidP="000A0BAF">
                            <w:pPr>
                              <w:spacing w:after="0" w:line="240" w:lineRule="auto"/>
                              <w:rPr>
                                <w:rFonts w:cstheme="minorHAnsi"/>
                                <w:color w:val="000000" w:themeColor="text1"/>
                              </w:rPr>
                            </w:pPr>
                            <w:r w:rsidRPr="000B1A79">
                              <w:rPr>
                                <w:rFonts w:cstheme="minorHAnsi"/>
                                <w:i/>
                                <w:color w:val="000000" w:themeColor="text1"/>
                                <w:lang w:eastAsia="ko-KR"/>
                              </w:rPr>
                              <w:t>Logic Model Development Guide</w:t>
                            </w:r>
                            <w:r w:rsidRPr="000B1A79">
                              <w:rPr>
                                <w:rFonts w:cstheme="minorHAnsi"/>
                                <w:color w:val="000000" w:themeColor="text1"/>
                                <w:lang w:eastAsia="ko-KR"/>
                              </w:rPr>
                              <w:t xml:space="preserve">: </w:t>
                            </w:r>
                            <w:r w:rsidRPr="000B1A79">
                              <w:rPr>
                                <w:rFonts w:cstheme="minorHAnsi"/>
                                <w:color w:val="000000" w:themeColor="text1"/>
                              </w:rPr>
                              <w:t>This guide was developed by the W. K. Kellogg Foundation</w:t>
                            </w:r>
                            <w:r w:rsidRPr="000B1A79">
                              <w:rPr>
                                <w:rFonts w:cstheme="minorHAnsi"/>
                                <w:i/>
                                <w:iCs/>
                                <w:color w:val="000000" w:themeColor="text1"/>
                              </w:rPr>
                              <w:t xml:space="preserve"> </w:t>
                            </w:r>
                            <w:r w:rsidRPr="000B1A79">
                              <w:rPr>
                                <w:rFonts w:cstheme="minorHAnsi"/>
                                <w:color w:val="000000" w:themeColor="text1"/>
                              </w:rPr>
                              <w:t xml:space="preserve">to provide assistance in developing a sound logic model that will enhance program planning, implementation, and dissemination activities. For more information, visit </w:t>
                            </w:r>
                            <w:hyperlink r:id="rId16" w:tgtFrame="_blank" w:history="1">
                              <w:r w:rsidRPr="00302E1D">
                                <w:rPr>
                                  <w:rStyle w:val="Hyperlink"/>
                                  <w:rFonts w:cstheme="minorHAnsi"/>
                                </w:rPr>
                                <w:t>http://www.wkkf.org/knowledge-center/resources/2006/02/WK-Kellogg-Foundation-Logic-Model-Development-Guide.aspx</w:t>
                              </w:r>
                            </w:hyperlink>
                            <w:r w:rsidRPr="00A01749">
                              <w:rPr>
                                <w:rStyle w:val="Hyperlink"/>
                                <w:rFonts w:cstheme="minorHAnsi"/>
                                <w:color w:val="000000" w:themeColor="text1"/>
                              </w:rPr>
                              <w:t>.</w:t>
                            </w:r>
                          </w:p>
                          <w:p w:rsidR="000A0BAF" w:rsidRPr="000B1A79" w:rsidRDefault="000A0BAF" w:rsidP="000A0BAF">
                            <w:pPr>
                              <w:spacing w:after="0" w:line="240" w:lineRule="auto"/>
                              <w:rPr>
                                <w:rFonts w:cstheme="minorHAnsi"/>
                                <w:color w:val="000000" w:themeColor="text1"/>
                              </w:rPr>
                            </w:pPr>
                          </w:p>
                          <w:p w:rsidR="000A0BAF" w:rsidRPr="000B1A79" w:rsidRDefault="000A0BAF" w:rsidP="000A0BAF">
                            <w:pPr>
                              <w:spacing w:after="0" w:line="240" w:lineRule="auto"/>
                              <w:rPr>
                                <w:rFonts w:cstheme="minorHAnsi"/>
                                <w:bCs/>
                                <w:color w:val="000000" w:themeColor="text1"/>
                              </w:rPr>
                            </w:pPr>
                            <w:r w:rsidRPr="000B1A79">
                              <w:rPr>
                                <w:rFonts w:cstheme="minorHAnsi"/>
                                <w:bCs/>
                                <w:i/>
                                <w:color w:val="000000" w:themeColor="text1"/>
                              </w:rPr>
                              <w:t>PARTNER: Program to Analyze, Record, and Track Networks to Enhance Relationships</w:t>
                            </w:r>
                            <w:r w:rsidRPr="00302E1D">
                              <w:rPr>
                                <w:rFonts w:cstheme="minorHAnsi"/>
                                <w:bCs/>
                                <w:color w:val="000000" w:themeColor="text1"/>
                              </w:rPr>
                              <w:t>:</w:t>
                            </w:r>
                            <w:r w:rsidRPr="000B1A79">
                              <w:rPr>
                                <w:rFonts w:cstheme="minorHAnsi"/>
                                <w:b/>
                                <w:bCs/>
                                <w:color w:val="000000" w:themeColor="text1"/>
                              </w:rPr>
                              <w:t xml:space="preserve"> </w:t>
                            </w:r>
                            <w:r w:rsidRPr="000B1A79">
                              <w:rPr>
                                <w:rFonts w:cstheme="minorHAnsi"/>
                                <w:bCs/>
                                <w:color w:val="000000" w:themeColor="text1"/>
                              </w:rPr>
                              <w:t xml:space="preserve">This free tool allows people and organizations that work together as a network to measure and monitor collaborative activity over time. Using social network analysis, network measures indicate the progress of collaboration by assessing which partners are involved and the ways in which they exchange resources, and provide a better understanding of the amount of effort required </w:t>
                            </w:r>
                            <w:proofErr w:type="gramStart"/>
                            <w:r w:rsidRPr="000B1A79">
                              <w:rPr>
                                <w:rFonts w:cstheme="minorHAnsi"/>
                                <w:bCs/>
                                <w:color w:val="000000" w:themeColor="text1"/>
                              </w:rPr>
                              <w:t>to sustain</w:t>
                            </w:r>
                            <w:proofErr w:type="gramEnd"/>
                            <w:r w:rsidRPr="000B1A79">
                              <w:rPr>
                                <w:rFonts w:cstheme="minorHAnsi"/>
                                <w:bCs/>
                                <w:color w:val="000000" w:themeColor="text1"/>
                              </w:rPr>
                              <w:t xml:space="preserve"> a collaborative. For more information, visit </w:t>
                            </w:r>
                            <w:hyperlink r:id="rId17" w:tgtFrame="_blank" w:history="1">
                              <w:r w:rsidRPr="00302E1D">
                                <w:rPr>
                                  <w:rStyle w:val="Hyperlink"/>
                                  <w:rFonts w:cstheme="minorHAnsi"/>
                                  <w:bCs/>
                                </w:rPr>
                                <w:t>www.partnertool.net</w:t>
                              </w:r>
                            </w:hyperlink>
                            <w:r w:rsidRPr="00A01749">
                              <w:rPr>
                                <w:rStyle w:val="Hyperlink"/>
                                <w:rFonts w:cstheme="minorHAnsi"/>
                                <w:bCs/>
                                <w:color w:val="000000" w:themeColor="text1"/>
                              </w:rPr>
                              <w:t>.</w:t>
                            </w:r>
                          </w:p>
                          <w:p w:rsidR="000A0BAF" w:rsidRPr="000B1A79" w:rsidRDefault="000A0BAF" w:rsidP="000A0BAF">
                            <w:pPr>
                              <w:spacing w:after="0" w:line="240" w:lineRule="auto"/>
                              <w:rPr>
                                <w:rFonts w:cstheme="minorHAnsi"/>
                                <w:color w:val="000000" w:themeColor="text1"/>
                                <w:lang w:eastAsia="ko-KR"/>
                              </w:rPr>
                            </w:pPr>
                          </w:p>
                          <w:p w:rsidR="000A0BAF" w:rsidRPr="000B1A79" w:rsidRDefault="000A0BAF" w:rsidP="000A0BAF">
                            <w:pPr>
                              <w:spacing w:after="0" w:line="240" w:lineRule="auto"/>
                              <w:rPr>
                                <w:rFonts w:cstheme="minorHAnsi"/>
                                <w:color w:val="000000" w:themeColor="text1"/>
                                <w:lang w:eastAsia="ko-KR"/>
                              </w:rPr>
                            </w:pPr>
                            <w:r w:rsidRPr="000B1A79">
                              <w:rPr>
                                <w:rFonts w:cstheme="minorHAnsi"/>
                                <w:i/>
                                <w:color w:val="000000" w:themeColor="text1"/>
                                <w:lang w:eastAsia="ko-KR"/>
                              </w:rPr>
                              <w:t>Roots of Health Inequity</w:t>
                            </w:r>
                            <w:r w:rsidRPr="000B1A79">
                              <w:rPr>
                                <w:rFonts w:cstheme="minorHAnsi"/>
                                <w:color w:val="000000" w:themeColor="text1"/>
                                <w:lang w:eastAsia="ko-KR"/>
                              </w:rPr>
                              <w:t xml:space="preserve">: Roots of Health Inequity is a Web-based course for the public health workforce. The course provides an online learning environment to explore the root causes of inequity in the distribution of disease, illness, injury, and death. For more information, visit </w:t>
                            </w:r>
                            <w:r w:rsidRPr="00302E1D">
                              <w:rPr>
                                <w:rFonts w:cstheme="minorHAnsi"/>
                                <w:color w:val="0000FF"/>
                                <w:u w:val="single"/>
                                <w:lang w:eastAsia="ko-KR"/>
                              </w:rPr>
                              <w:t>rootsofhealthinequity.org</w:t>
                            </w:r>
                            <w:r w:rsidRPr="000C424F">
                              <w:rPr>
                                <w:rFonts w:cstheme="minorHAnsi"/>
                                <w:color w:val="000000" w:themeColor="text1"/>
                                <w:lang w:eastAsia="ko-KR"/>
                              </w:rPr>
                              <w:t>.</w:t>
                            </w:r>
                            <w:r w:rsidRPr="000B1A79">
                              <w:rPr>
                                <w:rFonts w:cstheme="minorHAnsi"/>
                                <w:color w:val="000000" w:themeColor="text1"/>
                                <w:lang w:eastAsia="ko-KR"/>
                              </w:rPr>
                              <w:t xml:space="preserve"> </w:t>
                            </w:r>
                          </w:p>
                          <w:p w:rsidR="000A0BAF" w:rsidRPr="0019096A" w:rsidRDefault="000A0BAF" w:rsidP="000A0B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7" style="position:absolute;margin-left:3.75pt;margin-top:3pt;width:489.05pt;height:4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" fillcolor="#c4bc96 [2414]" strokecolor="#b1a089" strokeweight="2pt">
                <v:textbox>
                  <w:txbxContent>
                    <w:p w:rsidR="000A0BAF" w:rsidRDefault="000A0BAF" w:rsidP="000A0BAF">
                      <w:pPr>
                        <w:pStyle w:val="Heading1"/>
                        <w:spacing w:before="0"/>
                        <w:rPr>
                          <w:b/>
                          <w:color w:val="A50021"/>
                        </w:rPr>
                      </w:pPr>
                      <w:r>
                        <w:rPr>
                          <w:b/>
                          <w:color w:val="A50021"/>
                        </w:rPr>
                        <w:t>Resources for Collaboration</w:t>
                      </w:r>
                    </w:p>
                    <w:p w:rsidR="000A0BAF" w:rsidRPr="004108DA" w:rsidRDefault="000A0BAF" w:rsidP="000A0BAF">
                      <w:pPr>
                        <w:spacing w:after="0" w:line="240" w:lineRule="auto"/>
                        <w:rPr>
                          <w:sz w:val="12"/>
                          <w:szCs w:val="12"/>
                          <w:lang w:eastAsia="ko-KR"/>
                        </w:rPr>
                      </w:pPr>
                    </w:p>
                    <w:p w:rsidR="000A0BAF" w:rsidRPr="000B1A79" w:rsidRDefault="000A0BAF" w:rsidP="000A0BAF">
                      <w:pPr>
                        <w:spacing w:after="0" w:line="240" w:lineRule="auto"/>
                        <w:rPr>
                          <w:rFonts w:cstheme="minorHAnsi"/>
                          <w:color w:val="000000" w:themeColor="text1"/>
                        </w:rPr>
                      </w:pPr>
                      <w:r w:rsidRPr="000B1A79">
                        <w:rPr>
                          <w:rFonts w:cstheme="minorHAnsi"/>
                          <w:i/>
                          <w:iCs/>
                          <w:color w:val="000000" w:themeColor="text1"/>
                        </w:rPr>
                        <w:t xml:space="preserve">Coalitions Work! Tools and Resources: </w:t>
                      </w:r>
                      <w:r w:rsidRPr="000B1A79">
                        <w:rPr>
                          <w:rFonts w:cstheme="minorHAnsi"/>
                          <w:color w:val="000000" w:themeColor="text1"/>
                        </w:rPr>
                        <w:t xml:space="preserve">This collection of work tools, publications, and external resources helps coalitions and partnership reach their potential to serve as a force for positive change in the health of their communities. For more information, visit </w:t>
                      </w:r>
                      <w:hyperlink r:id="rId18" w:tgtFrame="_blank" w:history="1">
                        <w:r w:rsidRPr="00302E1D">
                          <w:rPr>
                            <w:rStyle w:val="Hyperlink"/>
                            <w:rFonts w:cstheme="minorHAnsi"/>
                          </w:rPr>
                          <w:t>coalitionswork.com/resources</w:t>
                        </w:r>
                      </w:hyperlink>
                      <w:r w:rsidRPr="000B1A79">
                        <w:rPr>
                          <w:rFonts w:cstheme="minorHAnsi"/>
                          <w:color w:val="000000" w:themeColor="text1"/>
                        </w:rPr>
                        <w:t>.  </w:t>
                      </w:r>
                    </w:p>
                    <w:p w:rsidR="000A0BAF" w:rsidRPr="000B1A79" w:rsidRDefault="000A0BAF" w:rsidP="000A0BAF">
                      <w:pPr>
                        <w:spacing w:after="0" w:line="240" w:lineRule="auto"/>
                        <w:rPr>
                          <w:rFonts w:cstheme="minorHAnsi"/>
                          <w:color w:val="000000" w:themeColor="text1"/>
                        </w:rPr>
                      </w:pPr>
                    </w:p>
                    <w:p w:rsidR="000A0BAF" w:rsidRPr="000B1A79" w:rsidRDefault="000A0BAF" w:rsidP="000A0BAF">
                      <w:pPr>
                        <w:pStyle w:val="Heading4"/>
                        <w:spacing w:before="0" w:line="240" w:lineRule="auto"/>
                        <w:rPr>
                          <w:rFonts w:asciiTheme="minorHAnsi" w:eastAsiaTheme="minorHAnsi" w:hAnsiTheme="minorHAnsi" w:cstheme="minorHAnsi"/>
                          <w:i w:val="0"/>
                          <w:color w:val="000000" w:themeColor="text1"/>
                        </w:rPr>
                      </w:pPr>
                      <w:r w:rsidRPr="000B1A79">
                        <w:rPr>
                          <w:rFonts w:asciiTheme="minorHAnsi" w:eastAsiaTheme="minorHAnsi" w:hAnsiTheme="minorHAnsi" w:cstheme="minorHAnsi"/>
                          <w:b w:val="0"/>
                          <w:bCs w:val="0"/>
                          <w:iCs w:val="0"/>
                          <w:color w:val="000000" w:themeColor="text1"/>
                        </w:rPr>
                        <w:t>Collective Impact</w:t>
                      </w:r>
                      <w:r w:rsidRPr="000B1A79">
                        <w:rPr>
                          <w:rFonts w:asciiTheme="minorHAnsi" w:eastAsiaTheme="minorHAnsi" w:hAnsiTheme="minorHAnsi" w:cstheme="minorHAnsi"/>
                          <w:b w:val="0"/>
                          <w:bCs w:val="0"/>
                          <w:i w:val="0"/>
                          <w:iCs w:val="0"/>
                          <w:color w:val="000000" w:themeColor="text1"/>
                        </w:rPr>
                        <w:t xml:space="preserve">: </w:t>
                      </w:r>
                      <w:r w:rsidRPr="000B1A79">
                        <w:rPr>
                          <w:rFonts w:asciiTheme="minorHAnsi" w:eastAsiaTheme="minorHAnsi" w:hAnsiTheme="minorHAnsi" w:cstheme="minorHAnsi"/>
                          <w:b w:val="0"/>
                          <w:bCs w:val="0"/>
                          <w:i w:val="0"/>
                          <w:color w:val="000000" w:themeColor="text1"/>
                        </w:rPr>
                        <w:t xml:space="preserve">Compared with isolated impact, collective impact initiatives include large-scale social change that comes from better cross-sector coordination rather than isolated interventions of individual organizations. Such initiatives have the following features: a common agenda, shared measurement systems, mutually reinforcing activities, continuous communication, and backbone support organizations. For more information, visit </w:t>
                      </w:r>
                      <w:hyperlink r:id="rId19" w:tgtFrame="_blank" w:history="1">
                        <w:r w:rsidRPr="00302E1D">
                          <w:rPr>
                            <w:rStyle w:val="Hyperlink"/>
                            <w:rFonts w:asciiTheme="minorHAnsi" w:eastAsiaTheme="minorHAnsi" w:hAnsiTheme="minorHAnsi" w:cstheme="minorHAnsi"/>
                            <w:b w:val="0"/>
                            <w:bCs w:val="0"/>
                            <w:i w:val="0"/>
                          </w:rPr>
                          <w:t>http://www.ssireview.org/articles/entry/collective_impact</w:t>
                        </w:r>
                      </w:hyperlink>
                      <w:r w:rsidRPr="00A01749">
                        <w:rPr>
                          <w:rStyle w:val="Hyperlink"/>
                          <w:rFonts w:asciiTheme="minorHAnsi" w:eastAsiaTheme="minorHAnsi" w:hAnsiTheme="minorHAnsi" w:cstheme="minorHAnsi"/>
                          <w:b w:val="0"/>
                          <w:bCs w:val="0"/>
                          <w:i w:val="0"/>
                          <w:color w:val="000000" w:themeColor="text1"/>
                        </w:rPr>
                        <w:t>.</w:t>
                      </w:r>
                      <w:r w:rsidRPr="000B1A79">
                        <w:rPr>
                          <w:rFonts w:asciiTheme="minorHAnsi" w:eastAsiaTheme="minorHAnsi" w:hAnsiTheme="minorHAnsi" w:cstheme="minorHAnsi"/>
                          <w:i w:val="0"/>
                          <w:color w:val="000000" w:themeColor="text1"/>
                        </w:rPr>
                        <w:t xml:space="preserve">  </w:t>
                      </w:r>
                    </w:p>
                    <w:p w:rsidR="000A0BAF" w:rsidRPr="000B1A79" w:rsidRDefault="000A0BAF" w:rsidP="000A0BAF">
                      <w:pPr>
                        <w:spacing w:after="0" w:line="240" w:lineRule="auto"/>
                        <w:rPr>
                          <w:rFonts w:cstheme="minorHAnsi"/>
                          <w:color w:val="000000" w:themeColor="text1"/>
                        </w:rPr>
                      </w:pPr>
                    </w:p>
                    <w:p w:rsidR="000A0BAF" w:rsidRPr="000B1A79" w:rsidRDefault="000A0BAF" w:rsidP="000A0BAF">
                      <w:pPr>
                        <w:spacing w:after="0" w:line="240" w:lineRule="auto"/>
                        <w:rPr>
                          <w:rFonts w:cstheme="minorHAnsi"/>
                          <w:color w:val="000000" w:themeColor="text1"/>
                        </w:rPr>
                      </w:pPr>
                      <w:r w:rsidRPr="000B1A79">
                        <w:rPr>
                          <w:rFonts w:cstheme="minorHAnsi"/>
                          <w:i/>
                          <w:color w:val="000000" w:themeColor="text1"/>
                        </w:rPr>
                        <w:t>The Community Tool Box</w:t>
                      </w:r>
                      <w:r w:rsidRPr="000B1A79">
                        <w:rPr>
                          <w:rFonts w:cstheme="minorHAnsi"/>
                          <w:color w:val="000000" w:themeColor="text1"/>
                        </w:rPr>
                        <w:t xml:space="preserve">: The Community Tool Box is a free, online resource for those working to build healthier communities and bring about social change. It offers tips and tools for taking action in communities through assessment, planning, intervention, evaluation, advocacy, and other aspects of community practice. For information and resources, visit </w:t>
                      </w:r>
                      <w:hyperlink r:id="rId20" w:history="1">
                        <w:r w:rsidRPr="00302E1D">
                          <w:rPr>
                            <w:rStyle w:val="Hyperlink"/>
                            <w:rFonts w:cstheme="minorHAnsi"/>
                          </w:rPr>
                          <w:t>http://ctb.ku.edu/en/learn-skill</w:t>
                        </w:r>
                      </w:hyperlink>
                      <w:r w:rsidRPr="00A01749">
                        <w:rPr>
                          <w:rStyle w:val="Hyperlink"/>
                          <w:rFonts w:cstheme="minorHAnsi"/>
                          <w:color w:val="000000" w:themeColor="text1"/>
                        </w:rPr>
                        <w:t>.</w:t>
                      </w:r>
                      <w:r w:rsidRPr="000B1A79">
                        <w:rPr>
                          <w:rFonts w:cstheme="minorHAnsi"/>
                          <w:color w:val="000000" w:themeColor="text1"/>
                        </w:rPr>
                        <w:t xml:space="preserve"> </w:t>
                      </w:r>
                    </w:p>
                    <w:p w:rsidR="000A0BAF" w:rsidRPr="000B1A79" w:rsidRDefault="000A0BAF" w:rsidP="000A0BAF">
                      <w:pPr>
                        <w:spacing w:after="0" w:line="240" w:lineRule="auto"/>
                        <w:rPr>
                          <w:rFonts w:cstheme="minorHAnsi"/>
                          <w:color w:val="000000" w:themeColor="text1"/>
                        </w:rPr>
                      </w:pPr>
                    </w:p>
                    <w:p w:rsidR="000A0BAF" w:rsidRPr="000B1A79" w:rsidRDefault="000A0BAF" w:rsidP="000A0BAF">
                      <w:pPr>
                        <w:spacing w:after="0" w:line="240" w:lineRule="auto"/>
                        <w:rPr>
                          <w:rFonts w:cstheme="minorHAnsi"/>
                          <w:color w:val="000000" w:themeColor="text1"/>
                        </w:rPr>
                      </w:pPr>
                      <w:r w:rsidRPr="000B1A79">
                        <w:rPr>
                          <w:rFonts w:cstheme="minorHAnsi"/>
                          <w:i/>
                          <w:color w:val="000000" w:themeColor="text1"/>
                          <w:lang w:eastAsia="ko-KR"/>
                        </w:rPr>
                        <w:t>Logic Model Development Guide</w:t>
                      </w:r>
                      <w:r w:rsidRPr="000B1A79">
                        <w:rPr>
                          <w:rFonts w:cstheme="minorHAnsi"/>
                          <w:color w:val="000000" w:themeColor="text1"/>
                          <w:lang w:eastAsia="ko-KR"/>
                        </w:rPr>
                        <w:t xml:space="preserve">: </w:t>
                      </w:r>
                      <w:r w:rsidRPr="000B1A79">
                        <w:rPr>
                          <w:rFonts w:cstheme="minorHAnsi"/>
                          <w:color w:val="000000" w:themeColor="text1"/>
                        </w:rPr>
                        <w:t>This guide was developed by the W. K. Kellogg Foundation</w:t>
                      </w:r>
                      <w:r w:rsidRPr="000B1A79">
                        <w:rPr>
                          <w:rFonts w:cstheme="minorHAnsi"/>
                          <w:i/>
                          <w:iCs/>
                          <w:color w:val="000000" w:themeColor="text1"/>
                        </w:rPr>
                        <w:t xml:space="preserve"> </w:t>
                      </w:r>
                      <w:r w:rsidRPr="000B1A79">
                        <w:rPr>
                          <w:rFonts w:cstheme="minorHAnsi"/>
                          <w:color w:val="000000" w:themeColor="text1"/>
                        </w:rPr>
                        <w:t xml:space="preserve">to provide assistance in developing a sound logic model that will enhance program planning, implementation, and dissemination activities. For more information, visit </w:t>
                      </w:r>
                      <w:hyperlink r:id="rId21" w:tgtFrame="_blank" w:history="1">
                        <w:r w:rsidRPr="00302E1D">
                          <w:rPr>
                            <w:rStyle w:val="Hyperlink"/>
                            <w:rFonts w:cstheme="minorHAnsi"/>
                          </w:rPr>
                          <w:t>http://www.wkkf.org/knowledge-center/resources/2006/02/WK-Kellogg-Foundation-Logic-Model-Development-Guide.aspx</w:t>
                        </w:r>
                      </w:hyperlink>
                      <w:r w:rsidRPr="00A01749">
                        <w:rPr>
                          <w:rStyle w:val="Hyperlink"/>
                          <w:rFonts w:cstheme="minorHAnsi"/>
                          <w:color w:val="000000" w:themeColor="text1"/>
                        </w:rPr>
                        <w:t>.</w:t>
                      </w:r>
                    </w:p>
                    <w:p w:rsidR="000A0BAF" w:rsidRPr="000B1A79" w:rsidRDefault="000A0BAF" w:rsidP="000A0BAF">
                      <w:pPr>
                        <w:spacing w:after="0" w:line="240" w:lineRule="auto"/>
                        <w:rPr>
                          <w:rFonts w:cstheme="minorHAnsi"/>
                          <w:color w:val="000000" w:themeColor="text1"/>
                        </w:rPr>
                      </w:pPr>
                    </w:p>
                    <w:p w:rsidR="000A0BAF" w:rsidRPr="000B1A79" w:rsidRDefault="000A0BAF" w:rsidP="000A0BAF">
                      <w:pPr>
                        <w:spacing w:after="0" w:line="240" w:lineRule="auto"/>
                        <w:rPr>
                          <w:rFonts w:cstheme="minorHAnsi"/>
                          <w:bCs/>
                          <w:color w:val="000000" w:themeColor="text1"/>
                        </w:rPr>
                      </w:pPr>
                      <w:r w:rsidRPr="000B1A79">
                        <w:rPr>
                          <w:rFonts w:cstheme="minorHAnsi"/>
                          <w:bCs/>
                          <w:i/>
                          <w:color w:val="000000" w:themeColor="text1"/>
                        </w:rPr>
                        <w:t>PARTNER: Program to Analyze, Record, and Track Networks to Enhance Relationships</w:t>
                      </w:r>
                      <w:r w:rsidRPr="00302E1D">
                        <w:rPr>
                          <w:rFonts w:cstheme="minorHAnsi"/>
                          <w:bCs/>
                          <w:color w:val="000000" w:themeColor="text1"/>
                        </w:rPr>
                        <w:t>:</w:t>
                      </w:r>
                      <w:r w:rsidRPr="000B1A79">
                        <w:rPr>
                          <w:rFonts w:cstheme="minorHAnsi"/>
                          <w:b/>
                          <w:bCs/>
                          <w:color w:val="000000" w:themeColor="text1"/>
                        </w:rPr>
                        <w:t xml:space="preserve"> </w:t>
                      </w:r>
                      <w:r w:rsidRPr="000B1A79">
                        <w:rPr>
                          <w:rFonts w:cstheme="minorHAnsi"/>
                          <w:bCs/>
                          <w:color w:val="000000" w:themeColor="text1"/>
                        </w:rPr>
                        <w:t xml:space="preserve">This free tool allows people and organizations that work together as a network to measure and monitor collaborative activity over time. Using social network analysis, network measures indicate the progress of collaboration by assessing which partners are involved and the ways in which they exchange resources, and provide a better understanding of the amount of effort required </w:t>
                      </w:r>
                      <w:proofErr w:type="gramStart"/>
                      <w:r w:rsidRPr="000B1A79">
                        <w:rPr>
                          <w:rFonts w:cstheme="minorHAnsi"/>
                          <w:bCs/>
                          <w:color w:val="000000" w:themeColor="text1"/>
                        </w:rPr>
                        <w:t>to sustain</w:t>
                      </w:r>
                      <w:proofErr w:type="gramEnd"/>
                      <w:r w:rsidRPr="000B1A79">
                        <w:rPr>
                          <w:rFonts w:cstheme="minorHAnsi"/>
                          <w:bCs/>
                          <w:color w:val="000000" w:themeColor="text1"/>
                        </w:rPr>
                        <w:t xml:space="preserve"> a collaborative. For more information, visit </w:t>
                      </w:r>
                      <w:hyperlink r:id="rId22" w:tgtFrame="_blank" w:history="1">
                        <w:r w:rsidRPr="00302E1D">
                          <w:rPr>
                            <w:rStyle w:val="Hyperlink"/>
                            <w:rFonts w:cstheme="minorHAnsi"/>
                            <w:bCs/>
                          </w:rPr>
                          <w:t>www.partnertool.net</w:t>
                        </w:r>
                      </w:hyperlink>
                      <w:r w:rsidRPr="00A01749">
                        <w:rPr>
                          <w:rStyle w:val="Hyperlink"/>
                          <w:rFonts w:cstheme="minorHAnsi"/>
                          <w:bCs/>
                          <w:color w:val="000000" w:themeColor="text1"/>
                        </w:rPr>
                        <w:t>.</w:t>
                      </w:r>
                    </w:p>
                    <w:p w:rsidR="000A0BAF" w:rsidRPr="000B1A79" w:rsidRDefault="000A0BAF" w:rsidP="000A0BAF">
                      <w:pPr>
                        <w:spacing w:after="0" w:line="240" w:lineRule="auto"/>
                        <w:rPr>
                          <w:rFonts w:cstheme="minorHAnsi"/>
                          <w:color w:val="000000" w:themeColor="text1"/>
                          <w:lang w:eastAsia="ko-KR"/>
                        </w:rPr>
                      </w:pPr>
                    </w:p>
                    <w:p w:rsidR="000A0BAF" w:rsidRPr="000B1A79" w:rsidRDefault="000A0BAF" w:rsidP="000A0BAF">
                      <w:pPr>
                        <w:spacing w:after="0" w:line="240" w:lineRule="auto"/>
                        <w:rPr>
                          <w:rFonts w:cstheme="minorHAnsi"/>
                          <w:color w:val="000000" w:themeColor="text1"/>
                          <w:lang w:eastAsia="ko-KR"/>
                        </w:rPr>
                      </w:pPr>
                      <w:r w:rsidRPr="000B1A79">
                        <w:rPr>
                          <w:rFonts w:cstheme="minorHAnsi"/>
                          <w:i/>
                          <w:color w:val="000000" w:themeColor="text1"/>
                          <w:lang w:eastAsia="ko-KR"/>
                        </w:rPr>
                        <w:t>Roots of Health Inequity</w:t>
                      </w:r>
                      <w:r w:rsidRPr="000B1A79">
                        <w:rPr>
                          <w:rFonts w:cstheme="minorHAnsi"/>
                          <w:color w:val="000000" w:themeColor="text1"/>
                          <w:lang w:eastAsia="ko-KR"/>
                        </w:rPr>
                        <w:t xml:space="preserve">: Roots of Health Inequity is a Web-based course for the public health workforce. The course provides an online learning environment to explore the root causes of inequity in the distribution of disease, illness, injury, and death. For more information, visit </w:t>
                      </w:r>
                      <w:r w:rsidRPr="00302E1D">
                        <w:rPr>
                          <w:rFonts w:cstheme="minorHAnsi"/>
                          <w:color w:val="0000FF"/>
                          <w:u w:val="single"/>
                          <w:lang w:eastAsia="ko-KR"/>
                        </w:rPr>
                        <w:t>rootsofhealthinequity.org</w:t>
                      </w:r>
                      <w:r w:rsidRPr="000C424F">
                        <w:rPr>
                          <w:rFonts w:cstheme="minorHAnsi"/>
                          <w:color w:val="000000" w:themeColor="text1"/>
                          <w:lang w:eastAsia="ko-KR"/>
                        </w:rPr>
                        <w:t>.</w:t>
                      </w:r>
                      <w:r w:rsidRPr="000B1A79">
                        <w:rPr>
                          <w:rFonts w:cstheme="minorHAnsi"/>
                          <w:color w:val="000000" w:themeColor="text1"/>
                          <w:lang w:eastAsia="ko-KR"/>
                        </w:rPr>
                        <w:t xml:space="preserve"> </w:t>
                      </w:r>
                    </w:p>
                    <w:p w:rsidR="000A0BAF" w:rsidRPr="0019096A" w:rsidRDefault="000A0BAF" w:rsidP="000A0BAF"/>
                  </w:txbxContent>
                </v:textbox>
              </v:rect>
            </w:pict>
          </mc:Fallback>
        </mc:AlternateContent>
      </w:r>
    </w:p>
    <w:p w:rsidR="000A0BAF" w:rsidRPr="0019096A" w:rsidRDefault="000A0BAF" w:rsidP="000A0BAF">
      <w:pPr>
        <w:rPr>
          <w:rFonts w:ascii="Times New Roman" w:hAnsi="Times New Roman" w:cs="Times New Roman"/>
        </w:rPr>
      </w:pPr>
    </w:p>
    <w:p w:rsidR="000A0BAF" w:rsidRPr="00852C92" w:rsidRDefault="000A0BAF" w:rsidP="000A0BAF">
      <w:pPr>
        <w:pStyle w:val="ListParagraph"/>
        <w:ind w:left="760"/>
        <w:rPr>
          <w:rFonts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0A0BAF" w:rsidRDefault="000A0BAF" w:rsidP="000A0BAF">
      <w:pPr>
        <w:rPr>
          <w:rFonts w:ascii="Garamond" w:hAnsi="Garamond" w:cs="Times New Roman"/>
        </w:rPr>
      </w:pPr>
    </w:p>
    <w:p w:rsidR="006365A0" w:rsidRPr="000A0BAF" w:rsidRDefault="006365A0">
      <w:pPr>
        <w:rPr>
          <w:rFonts w:ascii="Garamond" w:hAnsi="Garamond" w:cs="Times New Roman"/>
        </w:rPr>
      </w:pPr>
    </w:p>
    <w:sectPr w:rsidR="006365A0" w:rsidRPr="000A0BAF" w:rsidSect="000A0BAF">
      <w:headerReference w:type="default" r:id="rId23"/>
      <w:footerReference w:type="default" r:id="rId24"/>
      <w:pgSz w:w="12240" w:h="15840"/>
      <w:pgMar w:top="1440" w:right="1080" w:bottom="1440" w:left="1080" w:header="720" w:footer="720" w:gutter="0"/>
      <w:pgNumType w:start="3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BAF" w:rsidRDefault="000A0BAF" w:rsidP="000A0BAF">
      <w:pPr>
        <w:spacing w:after="0" w:line="240" w:lineRule="auto"/>
      </w:pPr>
      <w:r>
        <w:separator/>
      </w:r>
    </w:p>
  </w:endnote>
  <w:endnote w:type="continuationSeparator" w:id="0">
    <w:p w:rsidR="000A0BAF" w:rsidRDefault="000A0BAF" w:rsidP="000A0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312407"/>
      <w:docPartObj>
        <w:docPartGallery w:val="Page Numbers (Bottom of Page)"/>
        <w:docPartUnique/>
      </w:docPartObj>
    </w:sdtPr>
    <w:sdtEndPr>
      <w:rPr>
        <w:noProof/>
      </w:rPr>
    </w:sdtEndPr>
    <w:sdtContent>
      <w:p w:rsidR="000A0BAF" w:rsidRDefault="000A0BAF">
        <w:pPr>
          <w:pStyle w:val="Footer"/>
          <w:jc w:val="center"/>
        </w:pPr>
        <w:r>
          <w:fldChar w:fldCharType="begin"/>
        </w:r>
        <w:r>
          <w:instrText xml:space="preserve"> PAGE   \* MERGEFORMAT </w:instrText>
        </w:r>
        <w:r>
          <w:fldChar w:fldCharType="separate"/>
        </w:r>
        <w:r w:rsidR="00127DF3">
          <w:rPr>
            <w:noProof/>
          </w:rPr>
          <w:t>31</w:t>
        </w:r>
        <w:r>
          <w:rPr>
            <w:noProof/>
          </w:rPr>
          <w:fldChar w:fldCharType="end"/>
        </w:r>
      </w:p>
    </w:sdtContent>
  </w:sdt>
  <w:p w:rsidR="000A0BAF" w:rsidRDefault="000A0B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BAF" w:rsidRDefault="000A0BAF" w:rsidP="000A0BAF">
      <w:pPr>
        <w:spacing w:after="0" w:line="240" w:lineRule="auto"/>
      </w:pPr>
      <w:r>
        <w:separator/>
      </w:r>
    </w:p>
  </w:footnote>
  <w:footnote w:type="continuationSeparator" w:id="0">
    <w:p w:rsidR="000A0BAF" w:rsidRDefault="000A0BAF" w:rsidP="000A0B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BAF" w:rsidRDefault="000A0BAF">
    <w:pPr>
      <w:pStyle w:val="Header"/>
    </w:pPr>
    <w:r>
      <w:rPr>
        <w:noProof/>
      </w:rPr>
      <mc:AlternateContent>
        <mc:Choice Requires="wps">
          <w:drawing>
            <wp:anchor distT="0" distB="0" distL="114300" distR="114300" simplePos="0" relativeHeight="251659264" behindDoc="0" locked="0" layoutInCell="1" allowOverlap="1" wp14:anchorId="62EBF857" wp14:editId="11A30B08">
              <wp:simplePos x="0" y="0"/>
              <wp:positionH relativeFrom="column">
                <wp:posOffset>-1289050</wp:posOffset>
              </wp:positionH>
              <wp:positionV relativeFrom="paragraph">
                <wp:posOffset>-465455</wp:posOffset>
              </wp:positionV>
              <wp:extent cx="9986838" cy="803082"/>
              <wp:effectExtent l="0" t="0" r="0" b="0"/>
              <wp:wrapNone/>
              <wp:docPr id="4" name="Rectangle 4"/>
              <wp:cNvGraphicFramePr/>
              <a:graphic xmlns:a="http://schemas.openxmlformats.org/drawingml/2006/main">
                <a:graphicData uri="http://schemas.microsoft.com/office/word/2010/wordprocessingShape">
                  <wps:wsp>
                    <wps:cNvSpPr/>
                    <wps:spPr>
                      <a:xfrm>
                        <a:off x="0" y="0"/>
                        <a:ext cx="9986838" cy="803082"/>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 o:spid="_x0000_s1026" style="position:absolute;margin-left:-101.5pt;margin-top:-36.65pt;width:786.35pt;height:6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" fillcolor="#005b13" stroked="f"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D3377"/>
    <w:multiLevelType w:val="hybridMultilevel"/>
    <w:tmpl w:val="FF5E7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BAF"/>
    <w:rsid w:val="000A0BAF"/>
    <w:rsid w:val="00127DF3"/>
    <w:rsid w:val="006365A0"/>
    <w:rsid w:val="00932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BAF"/>
  </w:style>
  <w:style w:type="paragraph" w:styleId="Heading1">
    <w:name w:val="heading 1"/>
    <w:basedOn w:val="Normal"/>
    <w:next w:val="Normal"/>
    <w:link w:val="Heading1Char"/>
    <w:uiPriority w:val="9"/>
    <w:qFormat/>
    <w:rsid w:val="000A0BAF"/>
    <w:pPr>
      <w:keepNext/>
      <w:keepLines/>
      <w:spacing w:before="360" w:after="0" w:line="240" w:lineRule="auto"/>
      <w:outlineLvl w:val="0"/>
    </w:pPr>
    <w:rPr>
      <w:rFonts w:asciiTheme="majorHAnsi" w:eastAsiaTheme="majorEastAsia" w:hAnsiTheme="majorHAnsi" w:cstheme="majorBidi"/>
      <w:bCs/>
      <w:color w:val="4F81BD" w:themeColor="accent1"/>
      <w:sz w:val="32"/>
      <w:szCs w:val="28"/>
      <w:lang w:eastAsia="ko-KR"/>
      <w14:numForm w14:val="oldStyle"/>
    </w:rPr>
  </w:style>
  <w:style w:type="paragraph" w:styleId="Heading4">
    <w:name w:val="heading 4"/>
    <w:basedOn w:val="Normal"/>
    <w:next w:val="Normal"/>
    <w:link w:val="Heading4Char"/>
    <w:uiPriority w:val="9"/>
    <w:unhideWhenUsed/>
    <w:qFormat/>
    <w:rsid w:val="000A0BA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BAF"/>
    <w:rPr>
      <w:rFonts w:asciiTheme="majorHAnsi" w:eastAsiaTheme="majorEastAsia" w:hAnsiTheme="majorHAnsi" w:cstheme="majorBidi"/>
      <w:bCs/>
      <w:color w:val="4F81BD" w:themeColor="accent1"/>
      <w:sz w:val="32"/>
      <w:szCs w:val="28"/>
      <w:lang w:eastAsia="ko-KR"/>
      <w14:numForm w14:val="oldStyle"/>
    </w:rPr>
  </w:style>
  <w:style w:type="character" w:customStyle="1" w:styleId="Heading4Char">
    <w:name w:val="Heading 4 Char"/>
    <w:basedOn w:val="DefaultParagraphFont"/>
    <w:link w:val="Heading4"/>
    <w:uiPriority w:val="9"/>
    <w:rsid w:val="000A0BAF"/>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0A0BAF"/>
    <w:rPr>
      <w:color w:val="0000FF"/>
      <w:u w:val="single"/>
    </w:rPr>
  </w:style>
  <w:style w:type="paragraph" w:styleId="ListParagraph">
    <w:name w:val="List Paragraph"/>
    <w:basedOn w:val="Normal"/>
    <w:uiPriority w:val="34"/>
    <w:qFormat/>
    <w:rsid w:val="000A0BAF"/>
    <w:pPr>
      <w:spacing w:after="0" w:line="240" w:lineRule="auto"/>
      <w:ind w:left="720"/>
      <w:contextualSpacing/>
    </w:pPr>
    <w:rPr>
      <w:sz w:val="24"/>
      <w:szCs w:val="24"/>
    </w:rPr>
  </w:style>
  <w:style w:type="paragraph" w:styleId="Header">
    <w:name w:val="header"/>
    <w:basedOn w:val="Normal"/>
    <w:link w:val="HeaderChar"/>
    <w:uiPriority w:val="99"/>
    <w:unhideWhenUsed/>
    <w:rsid w:val="000A0B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BAF"/>
  </w:style>
  <w:style w:type="paragraph" w:styleId="Footer">
    <w:name w:val="footer"/>
    <w:basedOn w:val="Normal"/>
    <w:link w:val="FooterChar"/>
    <w:uiPriority w:val="99"/>
    <w:unhideWhenUsed/>
    <w:rsid w:val="000A0B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B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BAF"/>
  </w:style>
  <w:style w:type="paragraph" w:styleId="Heading1">
    <w:name w:val="heading 1"/>
    <w:basedOn w:val="Normal"/>
    <w:next w:val="Normal"/>
    <w:link w:val="Heading1Char"/>
    <w:uiPriority w:val="9"/>
    <w:qFormat/>
    <w:rsid w:val="000A0BAF"/>
    <w:pPr>
      <w:keepNext/>
      <w:keepLines/>
      <w:spacing w:before="360" w:after="0" w:line="240" w:lineRule="auto"/>
      <w:outlineLvl w:val="0"/>
    </w:pPr>
    <w:rPr>
      <w:rFonts w:asciiTheme="majorHAnsi" w:eastAsiaTheme="majorEastAsia" w:hAnsiTheme="majorHAnsi" w:cstheme="majorBidi"/>
      <w:bCs/>
      <w:color w:val="4F81BD" w:themeColor="accent1"/>
      <w:sz w:val="32"/>
      <w:szCs w:val="28"/>
      <w:lang w:eastAsia="ko-KR"/>
      <w14:numForm w14:val="oldStyle"/>
    </w:rPr>
  </w:style>
  <w:style w:type="paragraph" w:styleId="Heading4">
    <w:name w:val="heading 4"/>
    <w:basedOn w:val="Normal"/>
    <w:next w:val="Normal"/>
    <w:link w:val="Heading4Char"/>
    <w:uiPriority w:val="9"/>
    <w:unhideWhenUsed/>
    <w:qFormat/>
    <w:rsid w:val="000A0BA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BAF"/>
    <w:rPr>
      <w:rFonts w:asciiTheme="majorHAnsi" w:eastAsiaTheme="majorEastAsia" w:hAnsiTheme="majorHAnsi" w:cstheme="majorBidi"/>
      <w:bCs/>
      <w:color w:val="4F81BD" w:themeColor="accent1"/>
      <w:sz w:val="32"/>
      <w:szCs w:val="28"/>
      <w:lang w:eastAsia="ko-KR"/>
      <w14:numForm w14:val="oldStyle"/>
    </w:rPr>
  </w:style>
  <w:style w:type="character" w:customStyle="1" w:styleId="Heading4Char">
    <w:name w:val="Heading 4 Char"/>
    <w:basedOn w:val="DefaultParagraphFont"/>
    <w:link w:val="Heading4"/>
    <w:uiPriority w:val="9"/>
    <w:rsid w:val="000A0BAF"/>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0A0BAF"/>
    <w:rPr>
      <w:color w:val="0000FF"/>
      <w:u w:val="single"/>
    </w:rPr>
  </w:style>
  <w:style w:type="paragraph" w:styleId="ListParagraph">
    <w:name w:val="List Paragraph"/>
    <w:basedOn w:val="Normal"/>
    <w:uiPriority w:val="34"/>
    <w:qFormat/>
    <w:rsid w:val="000A0BAF"/>
    <w:pPr>
      <w:spacing w:after="0" w:line="240" w:lineRule="auto"/>
      <w:ind w:left="720"/>
      <w:contextualSpacing/>
    </w:pPr>
    <w:rPr>
      <w:sz w:val="24"/>
      <w:szCs w:val="24"/>
    </w:rPr>
  </w:style>
  <w:style w:type="paragraph" w:styleId="Header">
    <w:name w:val="header"/>
    <w:basedOn w:val="Normal"/>
    <w:link w:val="HeaderChar"/>
    <w:uiPriority w:val="99"/>
    <w:unhideWhenUsed/>
    <w:rsid w:val="000A0B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BAF"/>
  </w:style>
  <w:style w:type="paragraph" w:styleId="Footer">
    <w:name w:val="footer"/>
    <w:basedOn w:val="Normal"/>
    <w:link w:val="FooterChar"/>
    <w:uiPriority w:val="99"/>
    <w:unhideWhenUsed/>
    <w:rsid w:val="000A0B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ma.gov/media-library/assets/documents/6337" TargetMode="External"/><Relationship Id="rId13" Type="http://schemas.openxmlformats.org/officeDocument/2006/relationships/hyperlink" Target="http://coalitionswork.com/resources" TargetMode="External"/><Relationship Id="rId18" Type="http://schemas.openxmlformats.org/officeDocument/2006/relationships/hyperlink" Target="http://coalitionswork.com/resources"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wkkf.org/knowledge-center/resources/2006/02/WK-Kellogg-Foundation-Logic-Model-Development-Guide.aspx" TargetMode="External"/><Relationship Id="rId7" Type="http://schemas.openxmlformats.org/officeDocument/2006/relationships/endnotes" Target="endnotes.xml"/><Relationship Id="rId12" Type="http://schemas.openxmlformats.org/officeDocument/2006/relationships/hyperlink" Target="http://www.naccho.org/topics/infrastructure/mapp" TargetMode="External"/><Relationship Id="rId17" Type="http://schemas.openxmlformats.org/officeDocument/2006/relationships/hyperlink" Target="http://www.partnertool.ne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kkf.org/knowledge-center/resources/2006/02/WK-Kellogg-Foundation-Logic-Model-Development-Guide.aspx" TargetMode="External"/><Relationship Id="rId20" Type="http://schemas.openxmlformats.org/officeDocument/2006/relationships/hyperlink" Target="http://ctb.ku.edu/en/learn-skil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dc.gov/policy/hiap/"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ctb.ku.edu/en/learn-skill" TargetMode="External"/><Relationship Id="rId23" Type="http://schemas.openxmlformats.org/officeDocument/2006/relationships/header" Target="header1.xml"/><Relationship Id="rId10" Type="http://schemas.openxmlformats.org/officeDocument/2006/relationships/hyperlink" Target="https://www.unisdr.org/who-we-are/what-is-drr" TargetMode="External"/><Relationship Id="rId19" Type="http://schemas.openxmlformats.org/officeDocument/2006/relationships/hyperlink" Target="http://www.ssireview.org/articles/entry/collective_impact" TargetMode="External"/><Relationship Id="rId4" Type="http://schemas.openxmlformats.org/officeDocument/2006/relationships/settings" Target="settings.xml"/><Relationship Id="rId9" Type="http://schemas.openxmlformats.org/officeDocument/2006/relationships/hyperlink" Target="http://www.cdc.gov/nceh/hsb/disaster/casper/" TargetMode="External"/><Relationship Id="rId14" Type="http://schemas.openxmlformats.org/officeDocument/2006/relationships/hyperlink" Target="http://www.ssireview.org/articles/entry/collective_impact" TargetMode="External"/><Relationship Id="rId22" Type="http://schemas.openxmlformats.org/officeDocument/2006/relationships/hyperlink" Target="http://www.partnertoo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National Academies</Company>
  <LinksUpToDate>false</LinksUpToDate>
  <CharactersWithSpaces>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2016-11-21T17:31:00Z</dcterms:created>
  <dcterms:modified xsi:type="dcterms:W3CDTF">2016-11-22T22:20:00Z</dcterms:modified>
</cp:coreProperties>
</file>